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84658B" w:rsidRDefault="0034008C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7A5C13">
        <w:rPr>
          <w:b/>
          <w:bCs/>
          <w:sz w:val="26"/>
          <w:szCs w:val="26"/>
        </w:rPr>
        <w:t xml:space="preserve">намерении </w:t>
      </w:r>
      <w:r w:rsidR="0084658B">
        <w:rPr>
          <w:b/>
          <w:bCs/>
          <w:sz w:val="26"/>
          <w:szCs w:val="26"/>
        </w:rPr>
        <w:t>осуществлять</w:t>
      </w:r>
      <w:r w:rsidR="007A5C13">
        <w:rPr>
          <w:b/>
          <w:bCs/>
          <w:sz w:val="26"/>
          <w:szCs w:val="26"/>
        </w:rPr>
        <w:t xml:space="preserve"> строитель</w:t>
      </w:r>
      <w:r w:rsidR="0084658B">
        <w:rPr>
          <w:b/>
          <w:bCs/>
          <w:sz w:val="26"/>
          <w:szCs w:val="26"/>
        </w:rPr>
        <w:t xml:space="preserve">ство, реконструкцию, </w:t>
      </w:r>
    </w:p>
    <w:p w:rsidR="00397EEA" w:rsidRDefault="0084658B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капитальный</w:t>
      </w:r>
      <w:r w:rsidR="007A5C13">
        <w:rPr>
          <w:b/>
          <w:bCs/>
          <w:sz w:val="26"/>
          <w:szCs w:val="26"/>
        </w:rPr>
        <w:t xml:space="preserve"> ремонт объектов капитального строительства</w:t>
      </w:r>
      <w:r w:rsidR="00303597">
        <w:rPr>
          <w:b/>
          <w:bCs/>
          <w:sz w:val="26"/>
          <w:szCs w:val="26"/>
        </w:rPr>
        <w:t xml:space="preserve"> и (или) </w:t>
      </w:r>
      <w:r w:rsidR="00303597" w:rsidRPr="00303597">
        <w:rPr>
          <w:b/>
          <w:bCs/>
          <w:sz w:val="26"/>
          <w:szCs w:val="26"/>
        </w:rPr>
        <w:t>принимать участие в заключени</w:t>
      </w:r>
      <w:proofErr w:type="gramStart"/>
      <w:r w:rsidR="00303597" w:rsidRPr="00303597">
        <w:rPr>
          <w:b/>
          <w:bCs/>
          <w:sz w:val="26"/>
          <w:szCs w:val="26"/>
        </w:rPr>
        <w:t>и</w:t>
      </w:r>
      <w:proofErr w:type="gramEnd"/>
      <w:r w:rsidR="00303597" w:rsidRPr="00303597">
        <w:rPr>
          <w:b/>
          <w:bCs/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8B6B38" w:rsidRPr="005F077E" w:rsidRDefault="00303597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8B6B38"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="008B6B38" w:rsidRPr="005F077E">
        <w:rPr>
          <w:sz w:val="26"/>
          <w:szCs w:val="26"/>
        </w:rPr>
        <w:t xml:space="preserve"> </w:t>
      </w:r>
      <w:r w:rsidR="008B6B38">
        <w:rPr>
          <w:sz w:val="26"/>
          <w:szCs w:val="26"/>
        </w:rPr>
        <w:t>9 и 10</w:t>
      </w:r>
      <w:r w:rsidR="008B6B38" w:rsidRPr="005F077E">
        <w:rPr>
          <w:sz w:val="26"/>
          <w:szCs w:val="26"/>
        </w:rPr>
        <w:t xml:space="preserve"> статьи 3</w:t>
      </w:r>
      <w:r w:rsidR="008B6B38" w:rsidRPr="005F077E">
        <w:rPr>
          <w:sz w:val="26"/>
          <w:szCs w:val="26"/>
          <w:vertAlign w:val="superscript"/>
        </w:rPr>
        <w:t>3</w:t>
      </w:r>
      <w:r w:rsidR="008B6B38" w:rsidRPr="005F077E">
        <w:rPr>
          <w:sz w:val="26"/>
          <w:szCs w:val="26"/>
        </w:rPr>
        <w:t xml:space="preserve"> Федерального закона </w:t>
      </w:r>
      <w:r w:rsidR="008B6B38"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 w:rsidR="008B6B38">
        <w:rPr>
          <w:sz w:val="26"/>
          <w:szCs w:val="26"/>
        </w:rPr>
        <w:t>191-ФЗ</w:t>
      </w:r>
      <w:r w:rsidR="008B6B38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303597" w:rsidRDefault="00303597" w:rsidP="00303597">
      <w:pPr>
        <w:spacing w:line="312" w:lineRule="auto"/>
        <w:jc w:val="both"/>
        <w:rPr>
          <w:sz w:val="26"/>
          <w:szCs w:val="26"/>
        </w:rPr>
      </w:pPr>
    </w:p>
    <w:p w:rsidR="00142ECA" w:rsidRPr="00303597" w:rsidRDefault="00303597" w:rsidP="0030359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192278" w:rsidRPr="00303597">
        <w:rPr>
          <w:sz w:val="26"/>
          <w:szCs w:val="26"/>
        </w:rPr>
        <w:t>__</w:t>
      </w:r>
      <w:r w:rsidR="00142ECA" w:rsidRPr="00303597">
        <w:rPr>
          <w:sz w:val="26"/>
          <w:szCs w:val="26"/>
        </w:rPr>
        <w:t>____________________________</w:t>
      </w:r>
      <w:r w:rsidR="00192278" w:rsidRPr="00303597">
        <w:rPr>
          <w:sz w:val="26"/>
          <w:szCs w:val="26"/>
        </w:rPr>
        <w:t>______________</w:t>
      </w:r>
      <w:r w:rsidRPr="00303597">
        <w:rPr>
          <w:sz w:val="26"/>
          <w:szCs w:val="26"/>
        </w:rPr>
        <w:t>_______</w:t>
      </w:r>
      <w:r w:rsidR="00192278" w:rsidRPr="00303597">
        <w:rPr>
          <w:sz w:val="26"/>
          <w:szCs w:val="26"/>
        </w:rPr>
        <w:t>_____________</w:t>
      </w:r>
      <w:r w:rsidR="00935614" w:rsidRPr="00303597">
        <w:rPr>
          <w:sz w:val="26"/>
          <w:szCs w:val="26"/>
        </w:rPr>
        <w:t xml:space="preserve"> </w:t>
      </w:r>
    </w:p>
    <w:p w:rsidR="00303597" w:rsidRPr="00B20268" w:rsidRDefault="00935614" w:rsidP="00397EEA">
      <w:pPr>
        <w:spacing w:line="312" w:lineRule="auto"/>
        <w:ind w:firstLine="709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>, индивидуального предпринимателя</w:t>
      </w:r>
      <w:r w:rsidRPr="00B20268">
        <w:rPr>
          <w:i/>
          <w:color w:val="365F91" w:themeColor="accent1" w:themeShade="BF"/>
          <w:sz w:val="22"/>
          <w:szCs w:val="22"/>
        </w:rPr>
        <w:t>)</w:t>
      </w:r>
    </w:p>
    <w:p w:rsidR="001761BE" w:rsidRPr="001761BE" w:rsidRDefault="00303597" w:rsidP="00E10B26">
      <w:pPr>
        <w:pStyle w:val="af"/>
        <w:numPr>
          <w:ilvl w:val="0"/>
          <w:numId w:val="12"/>
        </w:numPr>
        <w:spacing w:before="240" w:line="312" w:lineRule="auto"/>
        <w:ind w:left="0" w:firstLine="1134"/>
        <w:jc w:val="both"/>
        <w:rPr>
          <w:b/>
          <w:sz w:val="26"/>
          <w:szCs w:val="26"/>
        </w:rPr>
      </w:pPr>
      <w:r w:rsidRPr="00303597">
        <w:rPr>
          <w:sz w:val="26"/>
          <w:szCs w:val="26"/>
        </w:rPr>
        <w:t>планирует выполнять</w:t>
      </w:r>
      <w:r w:rsidRPr="00303597">
        <w:rPr>
          <w:i/>
          <w:iCs/>
          <w:sz w:val="26"/>
          <w:szCs w:val="26"/>
        </w:rPr>
        <w:t xml:space="preserve"> </w:t>
      </w:r>
      <w:r w:rsidRPr="00303597">
        <w:rPr>
          <w:sz w:val="26"/>
          <w:szCs w:val="26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</w:t>
      </w:r>
      <w:r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B20268">
        <w:rPr>
          <w:i/>
          <w:color w:val="4F81BD" w:themeColor="accent1"/>
          <w:sz w:val="26"/>
          <w:szCs w:val="26"/>
        </w:rPr>
        <w:t>(выбрать один из 5 уровней)</w:t>
      </w:r>
      <w:r w:rsidR="00397EEA" w:rsidRPr="00B20268">
        <w:rPr>
          <w:color w:val="4F81BD" w:themeColor="accent1"/>
          <w:sz w:val="26"/>
          <w:szCs w:val="26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0"/>
        <w:tblW w:w="0" w:type="auto"/>
        <w:tblLook w:val="04A0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/>
        </w:trPr>
        <w:tc>
          <w:tcPr>
            <w:cnfStyle w:val="00100000000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</w:t>
            </w:r>
            <w:bookmarkStart w:id="0" w:name="_GoBack"/>
            <w:bookmarkEnd w:id="0"/>
            <w:r w:rsidRPr="009A7FD4">
              <w:rPr>
                <w:color w:val="auto"/>
                <w:sz w:val="26"/>
                <w:szCs w:val="26"/>
              </w:rPr>
              <w:t>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3597" w:rsidRDefault="005A7A61" w:rsidP="00E10B26">
      <w:pPr>
        <w:pStyle w:val="af"/>
        <w:numPr>
          <w:ilvl w:val="0"/>
          <w:numId w:val="12"/>
        </w:numPr>
        <w:spacing w:before="240" w:line="312" w:lineRule="auto"/>
        <w:ind w:left="0" w:firstLine="1123"/>
        <w:jc w:val="both"/>
        <w:rPr>
          <w:sz w:val="26"/>
          <w:szCs w:val="26"/>
        </w:rPr>
      </w:pPr>
      <w:proofErr w:type="gramStart"/>
      <w:r w:rsidRPr="005A7A61">
        <w:rPr>
          <w:sz w:val="26"/>
          <w:szCs w:val="26"/>
        </w:rPr>
        <w:t>планирует</w:t>
      </w:r>
      <w:proofErr w:type="gramEnd"/>
      <w:r w:rsidRPr="005A7A61">
        <w:rPr>
          <w:i/>
          <w:iCs/>
          <w:sz w:val="26"/>
          <w:szCs w:val="26"/>
        </w:rPr>
        <w:t xml:space="preserve"> </w:t>
      </w:r>
      <w:r w:rsidRPr="005A7A61">
        <w:rPr>
          <w:sz w:val="26"/>
          <w:szCs w:val="26"/>
        </w:rPr>
        <w:t>/</w:t>
      </w:r>
      <w:r w:rsidRPr="005A7A61">
        <w:rPr>
          <w:i/>
          <w:iCs/>
          <w:sz w:val="26"/>
          <w:szCs w:val="26"/>
        </w:rPr>
        <w:t xml:space="preserve"> </w:t>
      </w:r>
      <w:r w:rsidRPr="005A7A61">
        <w:rPr>
          <w:sz w:val="26"/>
          <w:szCs w:val="26"/>
        </w:rPr>
        <w:t xml:space="preserve">не планирует </w:t>
      </w:r>
      <w:r w:rsidRPr="00B20268">
        <w:rPr>
          <w:color w:val="4F81BD" w:themeColor="accent1"/>
          <w:sz w:val="26"/>
          <w:szCs w:val="26"/>
        </w:rPr>
        <w:t>(</w:t>
      </w:r>
      <w:r w:rsidRPr="00B20268">
        <w:rPr>
          <w:i/>
          <w:color w:val="4F81BD" w:themeColor="accent1"/>
          <w:sz w:val="26"/>
          <w:szCs w:val="26"/>
        </w:rPr>
        <w:t>нужное подчеркнуть</w:t>
      </w:r>
      <w:r w:rsidRPr="00B20268">
        <w:rPr>
          <w:color w:val="4F81BD" w:themeColor="accent1"/>
          <w:sz w:val="26"/>
          <w:szCs w:val="26"/>
        </w:rPr>
        <w:t>)</w:t>
      </w:r>
      <w:r w:rsidRPr="005A7A61">
        <w:rPr>
          <w:sz w:val="26"/>
          <w:szCs w:val="26"/>
        </w:rPr>
        <w:t xml:space="preserve"> принимать участие в закупках работ и выполнять строительство, реконструкцию, капитальный ремонт объектов капитального строительства на конкурсной основе в соответствии с законодательством Российской Федерации в случаях, если размер обязательств по таким договорам составляет</w:t>
      </w:r>
      <w:r>
        <w:rPr>
          <w:sz w:val="26"/>
          <w:szCs w:val="26"/>
        </w:rPr>
        <w:t xml:space="preserve"> </w:t>
      </w:r>
      <w:r w:rsidRPr="00B20268">
        <w:rPr>
          <w:i/>
          <w:color w:val="4F81BD" w:themeColor="accent1"/>
          <w:sz w:val="26"/>
          <w:szCs w:val="26"/>
        </w:rPr>
        <w:t>(выбрать один из 5 уровней)</w:t>
      </w:r>
      <w:r w:rsidR="00E10B26">
        <w:rPr>
          <w:sz w:val="26"/>
          <w:szCs w:val="26"/>
        </w:rPr>
        <w:t>:</w:t>
      </w:r>
    </w:p>
    <w:tbl>
      <w:tblPr>
        <w:tblStyle w:val="-10"/>
        <w:tblW w:w="0" w:type="auto"/>
        <w:tblLook w:val="04A0"/>
      </w:tblPr>
      <w:tblGrid>
        <w:gridCol w:w="2179"/>
        <w:gridCol w:w="2798"/>
        <w:gridCol w:w="3780"/>
        <w:gridCol w:w="1295"/>
      </w:tblGrid>
      <w:tr w:rsidR="00B20268" w:rsidRPr="009A7FD4" w:rsidTr="00FE0328">
        <w:trPr>
          <w:cnfStyle w:val="100000000000"/>
        </w:trPr>
        <w:tc>
          <w:tcPr>
            <w:cnfStyle w:val="001000000000"/>
            <w:tcW w:w="2093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FE0328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FE0328">
        <w:tc>
          <w:tcPr>
            <w:cnfStyle w:val="001000000000"/>
            <w:tcW w:w="2093" w:type="dxa"/>
          </w:tcPr>
          <w:p w:rsidR="00B20268" w:rsidRPr="001761BE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FE0328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FE0328">
        <w:tc>
          <w:tcPr>
            <w:cnfStyle w:val="001000000000"/>
            <w:tcW w:w="2093" w:type="dxa"/>
          </w:tcPr>
          <w:p w:rsidR="00B20268" w:rsidRPr="001761BE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FE0328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FE032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FE0328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FE0328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BB4981" w:rsidRPr="00BB4981" w:rsidRDefault="00BB4981" w:rsidP="00BB4981">
      <w:pPr>
        <w:spacing w:before="240" w:line="312" w:lineRule="auto"/>
        <w:jc w:val="both"/>
        <w:rPr>
          <w:sz w:val="26"/>
          <w:szCs w:val="26"/>
        </w:rPr>
      </w:pPr>
    </w:p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E10B26">
        <w:rPr>
          <w:sz w:val="26"/>
          <w:szCs w:val="26"/>
        </w:rPr>
        <w:t>Сообщает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Pr="00B20268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93561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факс,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 xml:space="preserve">адрес </w:t>
      </w:r>
      <w:r w:rsidRPr="00B20268">
        <w:rPr>
          <w:color w:val="4F81BD" w:themeColor="accent1"/>
          <w:sz w:val="26"/>
          <w:szCs w:val="26"/>
          <w:vertAlign w:val="superscript"/>
        </w:rPr>
        <w:t>электронн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ой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почт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ы</w:t>
      </w:r>
      <w:r w:rsidRPr="00B20268">
        <w:rPr>
          <w:color w:val="4F81BD" w:themeColor="accent1"/>
          <w:sz w:val="26"/>
          <w:szCs w:val="26"/>
          <w:vertAlign w:val="superscript"/>
        </w:rPr>
        <w:t>,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E10B26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  <w:t>(________________________)</w:t>
      </w:r>
    </w:p>
    <w:p w:rsidR="00E10B26" w:rsidRDefault="004546FC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10B26">
        <w:rPr>
          <w:sz w:val="26"/>
          <w:szCs w:val="26"/>
        </w:rPr>
        <w:t>олжность</w:t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192278" w:rsidRPr="00DA66EF">
        <w:rPr>
          <w:sz w:val="26"/>
          <w:szCs w:val="26"/>
        </w:rPr>
        <w:t xml:space="preserve">одпись </w:t>
      </w:r>
      <w:r w:rsidR="00E10B26" w:rsidRPr="00DA66EF">
        <w:rPr>
          <w:sz w:val="26"/>
          <w:szCs w:val="26"/>
        </w:rPr>
        <w:t xml:space="preserve">  </w:t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>
        <w:rPr>
          <w:sz w:val="26"/>
          <w:szCs w:val="26"/>
        </w:rPr>
        <w:tab/>
        <w:t>расшифровка подписи</w:t>
      </w:r>
    </w:p>
    <w:p w:rsidR="004546FC" w:rsidRDefault="00192278" w:rsidP="00E10B26">
      <w:pPr>
        <w:spacing w:line="312" w:lineRule="auto"/>
        <w:ind w:left="2832" w:firstLine="708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уполномоченного </w:t>
      </w:r>
    </w:p>
    <w:p w:rsidR="00E02608" w:rsidRDefault="00192278" w:rsidP="00E10B26">
      <w:pPr>
        <w:spacing w:line="312" w:lineRule="auto"/>
        <w:ind w:left="2832" w:firstLine="708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лица</w:t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</w:t>
      </w:r>
    </w:p>
    <w:p w:rsidR="009D7724" w:rsidRPr="004546FC" w:rsidRDefault="00E02608" w:rsidP="00DA66EF">
      <w:pPr>
        <w:spacing w:line="312" w:lineRule="auto"/>
        <w:jc w:val="both"/>
        <w:rPr>
          <w:sz w:val="28"/>
          <w:szCs w:val="28"/>
        </w:rPr>
      </w:pPr>
      <w:r w:rsidRPr="004546FC">
        <w:rPr>
          <w:sz w:val="28"/>
          <w:szCs w:val="28"/>
        </w:rPr>
        <w:t>м.п.</w:t>
      </w:r>
      <w:r w:rsidR="00192278" w:rsidRPr="004546FC">
        <w:rPr>
          <w:sz w:val="28"/>
          <w:szCs w:val="28"/>
        </w:rPr>
        <w:t xml:space="preserve">  </w:t>
      </w:r>
    </w:p>
    <w:sectPr w:rsidR="009D7724" w:rsidRPr="004546FC" w:rsidSect="005F077E">
      <w:headerReference w:type="first" r:id="rId8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6C" w:rsidRDefault="009E4A6C">
      <w:r>
        <w:separator/>
      </w:r>
    </w:p>
  </w:endnote>
  <w:endnote w:type="continuationSeparator" w:id="0">
    <w:p w:rsidR="009E4A6C" w:rsidRDefault="009E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6C" w:rsidRDefault="009E4A6C">
      <w:r>
        <w:separator/>
      </w:r>
    </w:p>
  </w:footnote>
  <w:footnote w:type="continuationSeparator" w:id="0">
    <w:p w:rsidR="009E4A6C" w:rsidRDefault="009E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8" w:rsidRDefault="00811BF8" w:rsidP="00811BF8">
    <w:pPr>
      <w:pStyle w:val="ad"/>
      <w:jc w:val="right"/>
    </w:pPr>
    <w:r>
      <w:t>Форма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450C3354"/>
    <w:lvl w:ilvl="0" w:tplc="A1EA1C0C">
      <w:start w:val="1"/>
      <w:numFmt w:val="decimal"/>
      <w:lvlText w:val="1.%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761BE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013ED"/>
    <w:rsid w:val="00412F33"/>
    <w:rsid w:val="00423520"/>
    <w:rsid w:val="00437912"/>
    <w:rsid w:val="004413EF"/>
    <w:rsid w:val="004546FC"/>
    <w:rsid w:val="00460C99"/>
    <w:rsid w:val="004633C2"/>
    <w:rsid w:val="004646FA"/>
    <w:rsid w:val="00475075"/>
    <w:rsid w:val="004912BB"/>
    <w:rsid w:val="0049714D"/>
    <w:rsid w:val="004E07F3"/>
    <w:rsid w:val="004E4734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70D8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137E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styleId="af0">
    <w:name w:val="Light Shading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List 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5480-A9D1-4354-A756-D1A87A5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6</cp:revision>
  <cp:lastPrinted>2016-11-28T07:25:00Z</cp:lastPrinted>
  <dcterms:created xsi:type="dcterms:W3CDTF">2016-11-24T14:43:00Z</dcterms:created>
  <dcterms:modified xsi:type="dcterms:W3CDTF">2016-11-28T12:25:00Z</dcterms:modified>
</cp:coreProperties>
</file>